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中央政法转移支付资金（业务装备经费）项目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塔什库尔干县人民法院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中共塔什库尔干塔吉克自治县委员会政法委员会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王世龙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12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28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（一）项目单位基本情况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塔什库尔干县人民法院单位性质为行政单位，全额拨款，执行会计制度为行政会计制度。独立编制机构1个，独立编制机构与上年无变动。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二、机构人员情况：编制38人（按照编委文件填报，其中：行政政法编制35人，工勤人员3人），实有在职人数35人，（其中：行政政法编制32人，工勤人员3人），退休17人，遗属补助6人，属于一般公共预算财政拨款（补助）开支52人，其中：在职35人，退休17人；遗属补助6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预期目标及阶段性目标：为了更好的、更快、质量更高的审理每一件案件，案件开庭时同步录音录像高速，清晰的记录每件案件，方便阅卷当事人及其他机关查阅档案，对一号科技法庭和档案室进行升级改造。根据最高人民法院（2017）151号文件的要求，对全院干警审判服装改款进行换装工作，保证审判人员开庭按照规定着装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本项目性质为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延续项目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项目资金主要用于全院干警审判制服的采购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号科技法庭升级改造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万元，档案室密集架和档案室系统升级改造2万元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，适用范围主要是：用于购置审判相关的专用设备及审判制服等。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项目预算金额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35万元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，资金来源财政资金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zh-TW" w:eastAsia="zh-TW"/>
        </w:rPr>
        <w:t>中央政法转移支付资金（业务装备经费）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项目预算安排总额为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万元，其中财政资金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万元，2018年实际收到预算资金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本项目实际支付资金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%（项目资金主要用于支付信息网络及软件购置更新费用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2018年项目一个为中央政法转移支付资金（业务装备经费），在项目实施过程中人民法院审判、巡回法庭案件审理等工作的落实。一是结全年工作实际情况，责任到人，将经费按照需求列出支出时间表，使各项支出有计划的开展，提高了预算执行率。二是加强督促检查。对于业务装备经费项目支出召开党组会研究决定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存在截留、挤占、挪用、虚列支出等情况；本项目支出符合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人民法院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项目资金于6月份到位35万，资金到位后，接到财政局通知，立即开会确定实施方案及实施范围，并形成报告上报县财经领导小组批准使用。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该项目属于经常性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延续性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项目,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全部按照政府采购办要求，按照流程执行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2018年项目一个为中央政法转移支付资金（业务装备经费），在项目实施过程中人民法院审判、巡回法庭案件审理等工作的落实。一是结全年工作实际情况，责任到人，将经费按照需求列出支出时间表，使各项支出有计划的开展，提高了预算执行率。二是加强督促检查。对于业务装备经费项目支出召开党组会研究决定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" w:hAnsi="仿宋" w:eastAsia="仿宋" w:cs="仿宋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本项目共设置一级指标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个，二级指标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个，三级指标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个，其中已完成三级指标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个，指标完成率为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经济性：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1、数量指标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指标1：购置审判制服套数，预期指标38套，实际完成指标：36套； 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指标2：科技法庭升级改造一号法庭，预期指标：1套，实际完成：1套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质量指标：指标1：支出完成率（指实际支出与预算资金的比率），预期指标：100%，实际完成：90%；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指标2：购置审判制服验收合格率，预期指标：100%，实际完成：80%；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指标3：科技法庭升级改造验收合格率，预期指标：100%，实际完成：95%；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指标4：政府采购招标率，预期指标：100%，实际完成：100%；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时效指标：指标1：购置审判制服开工率，预期指标：100%，实际指标：100%；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指标2 ：科技法庭升级改造当年按时完工率，预期指标：100%，实际指标：100%；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成本指标：指标1：审判制服购置单价，预期指标：≤5846元/人/套，实际指标：5671元/人/套；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指标2 ：科技法庭升级改造工程每套设备成本，预期指标：≤13.96万元/套，实际指标：13.96万元/套；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社会效益指标：提高工作设施条件，高效发挥司法执法职能，促进社会经济发展和社会和谐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，预期指标：效果明显，实际指标：效果明显；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可持续影响指标：保证执法工作正常、高效运行的持续年限，预期指标：≥8年，实际指标：5年；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满意度指标：装备使用者满意度，预期指标：≥95%，实际指标：95%。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不存在未完成情况:2018年本项目绩效目标全部达成，不存在未完成原因分析。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一是加强队伍政治业务素质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完善《岗位职责》、《廉政建设制度》等规章制度，使各项制度更加健全完善，依靠制度管人、管事、管权、管案的工作机制日趋完善，切实把审判执行权关进制度的笼子，使队伍管理走上制度化、规范化轨道。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二是加强司法能力建设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以创建学习型法院为载体，加强干警的学习教育，确定每周三下午为业务学习、每周五下午为政治理论学习时间。强化岗位练兵，参加上级法院举办的各类业务培训16期，培训干警20余人次，切实提高法官干警熟练掌握法律、准确理解法律、正确适用法律、依法公正裁判的能力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三是加强司法廉洁建设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坚持从严治院，强化“一岗双责”，认真落实党风廉政建设主体责任和监督责任。坚持以案为镜，警钟长鸣，加强司法廉洁教育，提高干警廉洁自律的自觉性。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val="en-US" w:eastAsia="zh-CN"/>
        </w:rPr>
        <w:t>主要经验及做法：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落实司法公开三大平台建设要求，依托法院官方网站全面公开法院基本情况、工作流程、办案程序、案件审判等司法信息，满足不同群体对司法公开的需要。推进门户网站、官方微博、微信建设，适时发布法院重大审判信息，回应群众诉求。加大庭审公开力度，符合条件的案件全部公开审理。上网公布开庭公告  25件、执行案件信息2件，生效裁判文书上网18份，接受当事人和社会公众的监督，防止暗箱操作。让司法在阳光下运行，邀请人大代表、政协委员和社会公众旁听庭审200余人次。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二是开展法院开放日活动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 上半年，我院开展了“法院开放日”活动，邀请人大代表、政协委员、以及学生参加，与法院、法官零距离接触。通过活动使群众能够走进法庭、感受法律，有利于更好地接受群众监督和民主监督，进一步表现了我院积极推进司法公开和阳光审判的坚定态度和决心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主要经验及做法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936" w:firstLineChars="3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  <w:t>无。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存在的问题</w:t>
      </w:r>
    </w:p>
    <w:p>
      <w:pPr>
        <w:spacing w:line="500" w:lineRule="exact"/>
        <w:ind w:firstLine="755" w:firstLineChars="242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一是根据项目实施情况，第一、二季度支出偏低，主要是资金于6月和10月份才到位，必须上报实施方案上报县财经领导小组批准方可使用。</w:t>
      </w:r>
    </w:p>
    <w:p>
      <w:pPr>
        <w:spacing w:line="500" w:lineRule="exact"/>
        <w:ind w:firstLine="755" w:firstLineChars="242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二是对项目绩效认识不到位，存在集中花钱办事的情况。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无其他说明内容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pStyle w:val="48"/>
        <w:spacing w:line="700" w:lineRule="exact"/>
        <w:ind w:firstLine="624" w:firstLineChars="200"/>
        <w:jc w:val="left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本次评价通过数据分析等方式，全面了解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zh-TW" w:eastAsia="zh-TW"/>
        </w:rPr>
        <w:t>中央政法转移支付资金（业务装备经费）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项目资金的使用效率和效果，项目管理过程规范，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  <w:t>已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完成了预期绩效目标等。同时，通过开展自我评价来总结经验和教训，为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  <w:t>喀什地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zh-TW" w:eastAsia="zh-TW"/>
        </w:rPr>
        <w:t>中央政法转移支付资金（业务装备经费）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18"/>
          <w:rFonts w:hint="eastAsia" w:ascii="仿宋" w:hAnsi="仿宋" w:eastAsia="仿宋" w:cs="仿宋"/>
          <w:color w:val="auto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7A3CBE"/>
    <w:multiLevelType w:val="singleLevel"/>
    <w:tmpl w:val="9B7A3CB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F1A98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82985"/>
    <w:rsid w:val="00922CB9"/>
    <w:rsid w:val="009350F7"/>
    <w:rsid w:val="009B526F"/>
    <w:rsid w:val="009C1AFD"/>
    <w:rsid w:val="009D4BFB"/>
    <w:rsid w:val="00A26421"/>
    <w:rsid w:val="00A4293B"/>
    <w:rsid w:val="00A83BD5"/>
    <w:rsid w:val="00A977DF"/>
    <w:rsid w:val="00AE6A23"/>
    <w:rsid w:val="00B06CA5"/>
    <w:rsid w:val="00B13FCF"/>
    <w:rsid w:val="00B41F61"/>
    <w:rsid w:val="00B55332"/>
    <w:rsid w:val="00B86E8C"/>
    <w:rsid w:val="00BE1A00"/>
    <w:rsid w:val="00C22CF0"/>
    <w:rsid w:val="00C56C72"/>
    <w:rsid w:val="00CA6457"/>
    <w:rsid w:val="00CC4442"/>
    <w:rsid w:val="00CC6E4D"/>
    <w:rsid w:val="00D17F2E"/>
    <w:rsid w:val="00D46194"/>
    <w:rsid w:val="00E01293"/>
    <w:rsid w:val="00E027D1"/>
    <w:rsid w:val="00E769FE"/>
    <w:rsid w:val="00EA2CBE"/>
    <w:rsid w:val="00EF3FFA"/>
    <w:rsid w:val="00F32FEE"/>
    <w:rsid w:val="00F53E69"/>
    <w:rsid w:val="045D36F7"/>
    <w:rsid w:val="0AB56CE2"/>
    <w:rsid w:val="0EB107EC"/>
    <w:rsid w:val="1A7E4853"/>
    <w:rsid w:val="21454B50"/>
    <w:rsid w:val="25F46A39"/>
    <w:rsid w:val="275833BE"/>
    <w:rsid w:val="314736C0"/>
    <w:rsid w:val="397F4FE8"/>
    <w:rsid w:val="3B0C1E65"/>
    <w:rsid w:val="4EFD6A38"/>
    <w:rsid w:val="56CC10B9"/>
    <w:rsid w:val="5A7F02EA"/>
    <w:rsid w:val="652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C9948E-C7AC-4B1A-BBAD-BEBC72B753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9</TotalTime>
  <ScaleCrop>false</ScaleCrop>
  <LinksUpToDate>false</LinksUpToDate>
  <CharactersWithSpaces>1916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Lenovo</cp:lastModifiedBy>
  <cp:lastPrinted>2018-12-17T10:15:00Z</cp:lastPrinted>
  <dcterms:modified xsi:type="dcterms:W3CDTF">2019-09-22T10:48:14Z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